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C81">
        <w:rPr>
          <w:sz w:val="28"/>
          <w:szCs w:val="28"/>
        </w:rPr>
        <w:t>06.10</w:t>
      </w:r>
      <w:r w:rsidR="006F389E">
        <w:rPr>
          <w:sz w:val="28"/>
          <w:szCs w:val="28"/>
        </w:rPr>
        <w:t>.</w:t>
      </w:r>
      <w:r w:rsidR="00184463">
        <w:rPr>
          <w:sz w:val="28"/>
          <w:szCs w:val="28"/>
        </w:rPr>
        <w:t>2023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941C81">
        <w:rPr>
          <w:sz w:val="28"/>
          <w:szCs w:val="28"/>
        </w:rPr>
        <w:t xml:space="preserve"> 92</w:t>
      </w:r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Pr="003B3821">
        <w:rPr>
          <w:sz w:val="28"/>
          <w:szCs w:val="28"/>
        </w:rPr>
        <w:t xml:space="preserve"> </w:t>
      </w:r>
      <w:r w:rsidR="005278EC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184ABB" w:rsidRPr="005E5ED9" w:rsidRDefault="005E5ED9" w:rsidP="004F5AA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5E5ED9">
        <w:rPr>
          <w:bCs/>
          <w:sz w:val="28"/>
          <w:szCs w:val="28"/>
        </w:rPr>
        <w:t xml:space="preserve"> соответствии с Федеральным законом от 21.12.2001 № 178-ФЗ </w:t>
      </w:r>
      <w:r w:rsidR="007B6986">
        <w:rPr>
          <w:bCs/>
          <w:sz w:val="28"/>
          <w:szCs w:val="28"/>
        </w:rPr>
        <w:t xml:space="preserve">                  </w:t>
      </w:r>
      <w:r w:rsidRPr="005E5ED9">
        <w:rPr>
          <w:bCs/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</w:t>
      </w:r>
      <w:r w:rsidR="005714EF">
        <w:rPr>
          <w:bCs/>
          <w:sz w:val="28"/>
          <w:szCs w:val="28"/>
        </w:rPr>
        <w:t xml:space="preserve"> </w:t>
      </w:r>
      <w:r w:rsidR="007B6986">
        <w:rPr>
          <w:bCs/>
          <w:sz w:val="28"/>
          <w:szCs w:val="28"/>
        </w:rPr>
        <w:t xml:space="preserve">               </w:t>
      </w:r>
      <w:r w:rsidRPr="005E5ED9">
        <w:rPr>
          <w:bCs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решение</w:t>
      </w:r>
      <w:r w:rsidR="005714EF">
        <w:rPr>
          <w:bCs/>
          <w:sz w:val="28"/>
          <w:szCs w:val="28"/>
        </w:rPr>
        <w:t>м</w:t>
      </w:r>
      <w:r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4F5AA6">
        <w:rPr>
          <w:bCs/>
          <w:sz w:val="28"/>
          <w:szCs w:val="28"/>
        </w:rPr>
        <w:t>вского сельского поселения от 31.07.2023 № 106 «</w:t>
      </w:r>
      <w:r w:rsidR="004F5AA6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 утверждении прогнозного</w:t>
      </w:r>
      <w:proofErr w:type="gramEnd"/>
      <w:r w:rsidR="004F5AA6" w:rsidRPr="004F5AA6">
        <w:rPr>
          <w:bCs/>
          <w:sz w:val="28"/>
          <w:szCs w:val="28"/>
        </w:rPr>
        <w:t xml:space="preserve"> </w:t>
      </w:r>
      <w:proofErr w:type="gramStart"/>
      <w:r w:rsidR="004F5AA6" w:rsidRPr="004F5AA6">
        <w:rPr>
          <w:bCs/>
          <w:sz w:val="28"/>
          <w:szCs w:val="28"/>
        </w:rPr>
        <w:t xml:space="preserve">плана (программы) приватизации муниципального имущества  Буденновского сельского поселения  на 2022 год </w:t>
      </w:r>
      <w:r w:rsidR="004F5AA6">
        <w:rPr>
          <w:bCs/>
          <w:sz w:val="28"/>
          <w:szCs w:val="28"/>
        </w:rPr>
        <w:t>и плановый период 2023  года</w:t>
      </w:r>
      <w:r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4F5AA6">
        <w:rPr>
          <w:bCs/>
          <w:sz w:val="28"/>
          <w:szCs w:val="28"/>
        </w:rPr>
        <w:t>ского сельского поселения от 30.08.2023 № 107</w:t>
      </w:r>
      <w:r w:rsidRPr="005E5ED9">
        <w:rPr>
          <w:bCs/>
          <w:sz w:val="28"/>
          <w:szCs w:val="28"/>
        </w:rPr>
        <w:t xml:space="preserve"> «</w:t>
      </w:r>
      <w:r w:rsidR="004F5AA6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муниципального   образования      «Буденновское сельское поселение»</w:t>
      </w:r>
      <w:r>
        <w:rPr>
          <w:bCs/>
          <w:sz w:val="28"/>
          <w:szCs w:val="28"/>
        </w:rPr>
        <w:t>, п</w:t>
      </w:r>
      <w:r w:rsidR="00184ABB" w:rsidRPr="003B3821">
        <w:rPr>
          <w:sz w:val="28"/>
          <w:szCs w:val="28"/>
        </w:rPr>
        <w:t xml:space="preserve">оложением о порядке </w:t>
      </w:r>
      <w:r w:rsidR="00184ABB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184ABB" w:rsidRPr="003B3821">
        <w:rPr>
          <w:sz w:val="28"/>
          <w:szCs w:val="28"/>
        </w:rPr>
        <w:t>, утвержденным решением Собрания депутатов Буден</w:t>
      </w:r>
      <w:r w:rsidR="008C2747">
        <w:rPr>
          <w:sz w:val="28"/>
          <w:szCs w:val="28"/>
        </w:rPr>
        <w:t>новского сельского поселения от 29.01.2014</w:t>
      </w:r>
      <w:proofErr w:type="gramEnd"/>
      <w:r w:rsidR="008C2747">
        <w:rPr>
          <w:sz w:val="28"/>
          <w:szCs w:val="28"/>
        </w:rPr>
        <w:t xml:space="preserve"> № 53</w:t>
      </w:r>
      <w:r w:rsidR="00184ABB" w:rsidRPr="00582D5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5E5ED9" w:rsidRPr="005E5ED9" w:rsidRDefault="005E5ED9" w:rsidP="005E5ED9">
      <w:pPr>
        <w:ind w:right="27" w:firstLine="708"/>
        <w:jc w:val="both"/>
        <w:rPr>
          <w:bCs/>
          <w:sz w:val="28"/>
          <w:szCs w:val="28"/>
        </w:rPr>
      </w:pP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874399" w:rsidRPr="005E5ED9" w:rsidRDefault="00874399" w:rsidP="005E5ED9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941C81" w:rsidRDefault="00941C81" w:rsidP="00184ABB">
      <w:pPr>
        <w:ind w:firstLine="708"/>
        <w:jc w:val="both"/>
        <w:rPr>
          <w:sz w:val="28"/>
          <w:szCs w:val="28"/>
        </w:rPr>
      </w:pPr>
    </w:p>
    <w:p w:rsidR="00941C81" w:rsidRDefault="00941C81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Признать утратившим силу Постановление Администрации Буденновского сельского поселения от 30.08.2023 г. № 80 «Об организации и проведении</w:t>
      </w:r>
      <w:r w:rsidR="00874399">
        <w:rPr>
          <w:sz w:val="28"/>
          <w:szCs w:val="28"/>
        </w:rPr>
        <w:t xml:space="preserve">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области».</w:t>
      </w:r>
    </w:p>
    <w:p w:rsidR="00874399" w:rsidRDefault="00874399" w:rsidP="00184ABB">
      <w:pPr>
        <w:ind w:firstLine="708"/>
        <w:jc w:val="both"/>
        <w:rPr>
          <w:sz w:val="28"/>
          <w:szCs w:val="28"/>
        </w:rPr>
      </w:pPr>
    </w:p>
    <w:p w:rsidR="00941C81" w:rsidRDefault="00152DA1" w:rsidP="0094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C2E0F">
        <w:rPr>
          <w:sz w:val="28"/>
          <w:szCs w:val="28"/>
        </w:rPr>
        <w:t>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9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DC2E0F" w:rsidRDefault="00152DA1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2E0F" w:rsidRPr="00DC2E0F">
        <w:rPr>
          <w:sz w:val="28"/>
          <w:szCs w:val="28"/>
        </w:rPr>
        <w:t xml:space="preserve">. Назначить </w:t>
      </w:r>
      <w:proofErr w:type="gramStart"/>
      <w:r w:rsidR="00DC2E0F" w:rsidRPr="00DC2E0F">
        <w:rPr>
          <w:sz w:val="28"/>
          <w:szCs w:val="28"/>
        </w:rPr>
        <w:t>ответственным</w:t>
      </w:r>
      <w:proofErr w:type="gramEnd"/>
      <w:r w:rsidR="00DC2E0F"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984B67" w:rsidRPr="00DC2E0F" w:rsidRDefault="00984B67" w:rsidP="00DC2E0F">
      <w:pPr>
        <w:ind w:firstLine="708"/>
        <w:jc w:val="both"/>
        <w:rPr>
          <w:sz w:val="28"/>
          <w:szCs w:val="28"/>
        </w:rPr>
      </w:pPr>
    </w:p>
    <w:p w:rsidR="00DC2E0F" w:rsidRPr="00DC2E0F" w:rsidRDefault="00152DA1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C2E0F" w:rsidRPr="00DC2E0F">
        <w:rPr>
          <w:sz w:val="28"/>
          <w:szCs w:val="28"/>
        </w:rPr>
        <w:t xml:space="preserve">. </w:t>
      </w:r>
      <w:proofErr w:type="gramStart"/>
      <w:r w:rsidR="00DC2E0F" w:rsidRPr="00DC2E0F">
        <w:rPr>
          <w:sz w:val="28"/>
          <w:szCs w:val="28"/>
        </w:rPr>
        <w:t>Контроль за</w:t>
      </w:r>
      <w:proofErr w:type="gramEnd"/>
      <w:r w:rsidR="00DC2E0F" w:rsidRPr="00DC2E0F">
        <w:rPr>
          <w:sz w:val="28"/>
          <w:szCs w:val="28"/>
        </w:rPr>
        <w:t xml:space="preserve"> исполнением настоящего</w:t>
      </w:r>
      <w:r w:rsidR="00DC2E0F"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/>
    <w:p w:rsidR="00184ABB" w:rsidRDefault="00184ABB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184ABB" w:rsidRDefault="00184ABB" w:rsidP="00184ABB"/>
    <w:p w:rsidR="00874399" w:rsidRDefault="00874399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30ECA" w:rsidRPr="00184463" w:rsidRDefault="00964454" w:rsidP="00935F59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Приложение № 1</w:t>
      </w:r>
      <w:r w:rsidR="00430ECA"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63C1E" w:rsidRPr="00935F59" w:rsidRDefault="00663C1E" w:rsidP="00663C1E">
      <w:pPr>
        <w:pStyle w:val="ConsPlusTitle"/>
        <w:rPr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Документация об электронном аукционе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 xml:space="preserve">по продаже имущества, находящегося </w:t>
      </w:r>
      <w:proofErr w:type="gramStart"/>
      <w:r w:rsidRPr="00935F5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35F59">
        <w:rPr>
          <w:rFonts w:ascii="Times New Roman" w:hAnsi="Times New Roman" w:cs="Times New Roman"/>
          <w:sz w:val="22"/>
          <w:szCs w:val="22"/>
        </w:rPr>
        <w:t xml:space="preserve"> муниципальной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собственности муниципального образования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«Буденновское сельское поселение»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ИЗВЕЩЕНИЕ</w:t>
      </w:r>
    </w:p>
    <w:p w:rsidR="00663C1E" w:rsidRPr="00537CCD" w:rsidRDefault="00663C1E" w:rsidP="002F115D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 Администрация Буденновского сельского поселения Сальского района (далее – Продавец) объявляет о проведении </w:t>
      </w:r>
      <w:r w:rsidR="00430ECA" w:rsidRPr="00537CCD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аукциона открытого по составу участников и по форме подачи предложений о цене в электронной форме, по продаже </w:t>
      </w:r>
      <w:r w:rsidR="00461A54" w:rsidRPr="00537CCD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>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537CCD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37CCD">
        <w:rPr>
          <w:rFonts w:ascii="Times New Roman" w:hAnsi="Times New Roman" w:cs="Times New Roman"/>
          <w:b w:val="0"/>
          <w:sz w:val="28"/>
          <w:szCs w:val="28"/>
        </w:rPr>
        <w:t>кциона по продаже имущества (далее также – Информационное сообщение).</w:t>
      </w:r>
    </w:p>
    <w:p w:rsidR="00B95AFD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63C1E" w:rsidRPr="006F389E" w:rsidRDefault="00663C1E" w:rsidP="006F389E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537CCD">
        <w:rPr>
          <w:sz w:val="28"/>
          <w:szCs w:val="28"/>
        </w:rPr>
        <w:t>Торги проводятся в соответствии с Федеральн</w:t>
      </w:r>
      <w:r w:rsidR="00D015A8" w:rsidRPr="00537CCD">
        <w:rPr>
          <w:sz w:val="28"/>
          <w:szCs w:val="28"/>
        </w:rPr>
        <w:t>ым законом от 21.12.2001</w:t>
      </w:r>
      <w:r w:rsidRPr="00537CCD">
        <w:rPr>
          <w:sz w:val="28"/>
          <w:szCs w:val="28"/>
        </w:rPr>
        <w:t xml:space="preserve"> № 178-ФЗ </w:t>
      </w:r>
      <w:r w:rsidR="002F115D">
        <w:rPr>
          <w:sz w:val="28"/>
          <w:szCs w:val="28"/>
        </w:rPr>
        <w:t xml:space="preserve">  </w:t>
      </w:r>
      <w:r w:rsidRPr="00537CCD">
        <w:rPr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 </w:t>
      </w:r>
      <w:r w:rsidR="008773D7" w:rsidRPr="00537CCD">
        <w:rPr>
          <w:sz w:val="28"/>
          <w:szCs w:val="28"/>
        </w:rPr>
        <w:t xml:space="preserve"> </w:t>
      </w:r>
      <w:r w:rsidRPr="00537CCD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6F389E" w:rsidRPr="005E5ED9">
        <w:rPr>
          <w:bCs/>
          <w:sz w:val="28"/>
          <w:szCs w:val="28"/>
        </w:rPr>
        <w:t>решение</w:t>
      </w:r>
      <w:r w:rsidR="006F389E">
        <w:rPr>
          <w:bCs/>
          <w:sz w:val="28"/>
          <w:szCs w:val="28"/>
        </w:rPr>
        <w:t>м</w:t>
      </w:r>
      <w:r w:rsidR="006F389E"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6F389E">
        <w:rPr>
          <w:bCs/>
          <w:sz w:val="28"/>
          <w:szCs w:val="28"/>
        </w:rPr>
        <w:t>вского сельского поселения от 31.07.2023 № 106 «</w:t>
      </w:r>
      <w:r w:rsidR="006F389E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</w:t>
      </w:r>
      <w:proofErr w:type="gramEnd"/>
      <w:r w:rsidR="006F389E" w:rsidRPr="004F5AA6">
        <w:rPr>
          <w:bCs/>
          <w:sz w:val="28"/>
          <w:szCs w:val="28"/>
        </w:rPr>
        <w:t xml:space="preserve"> </w:t>
      </w:r>
      <w:proofErr w:type="gramStart"/>
      <w:r w:rsidR="006F389E" w:rsidRPr="004F5AA6">
        <w:rPr>
          <w:bCs/>
          <w:sz w:val="28"/>
          <w:szCs w:val="28"/>
        </w:rPr>
        <w:t xml:space="preserve">утверждении прогнозного плана (программы) приватизации муниципального имущества  Буденновского сельского поселения  на 2022 год </w:t>
      </w:r>
      <w:r w:rsidR="006F389E">
        <w:rPr>
          <w:bCs/>
          <w:sz w:val="28"/>
          <w:szCs w:val="28"/>
        </w:rPr>
        <w:t>и плановый период 2023  года</w:t>
      </w:r>
      <w:r w:rsidR="006F389E"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6F389E">
        <w:rPr>
          <w:bCs/>
          <w:sz w:val="28"/>
          <w:szCs w:val="28"/>
        </w:rPr>
        <w:t>ского сельского поселения от 30.08.2023 № 107</w:t>
      </w:r>
      <w:r w:rsidR="006F389E" w:rsidRPr="005E5ED9">
        <w:rPr>
          <w:bCs/>
          <w:sz w:val="28"/>
          <w:szCs w:val="28"/>
        </w:rPr>
        <w:t xml:space="preserve"> «</w:t>
      </w:r>
      <w:r w:rsidR="006F389E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</w:t>
      </w:r>
      <w:r w:rsidR="00162D45">
        <w:rPr>
          <w:bCs/>
          <w:sz w:val="28"/>
          <w:szCs w:val="28"/>
        </w:rPr>
        <w:t>иципального   образования      «</w:t>
      </w:r>
      <w:r w:rsidR="006F389E" w:rsidRPr="004F5AA6">
        <w:rPr>
          <w:bCs/>
          <w:sz w:val="28"/>
          <w:szCs w:val="28"/>
        </w:rPr>
        <w:t>Буденновское сельское поселение»</w:t>
      </w:r>
      <w:r w:rsidR="00162D45">
        <w:rPr>
          <w:bCs/>
          <w:sz w:val="28"/>
          <w:szCs w:val="28"/>
        </w:rPr>
        <w:t>»</w:t>
      </w:r>
      <w:r w:rsidR="006F389E">
        <w:rPr>
          <w:bCs/>
          <w:sz w:val="28"/>
          <w:szCs w:val="28"/>
        </w:rPr>
        <w:t>, п</w:t>
      </w:r>
      <w:r w:rsidR="006F389E" w:rsidRPr="003B3821">
        <w:rPr>
          <w:sz w:val="28"/>
          <w:szCs w:val="28"/>
        </w:rPr>
        <w:t xml:space="preserve">оложением о порядке </w:t>
      </w:r>
      <w:r w:rsidR="006F389E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6F389E" w:rsidRPr="003B3821">
        <w:rPr>
          <w:sz w:val="28"/>
          <w:szCs w:val="28"/>
        </w:rPr>
        <w:t>, утвержденным решением Собрания депутатов Буден</w:t>
      </w:r>
      <w:r w:rsidR="006F389E">
        <w:rPr>
          <w:sz w:val="28"/>
          <w:szCs w:val="28"/>
        </w:rPr>
        <w:t>новского сельского поселения от</w:t>
      </w:r>
      <w:proofErr w:type="gramEnd"/>
      <w:r w:rsidR="006F389E">
        <w:rPr>
          <w:sz w:val="28"/>
          <w:szCs w:val="28"/>
        </w:rPr>
        <w:t xml:space="preserve"> 29.01.2014 № 53</w:t>
      </w:r>
      <w:r w:rsidR="00162D45">
        <w:rPr>
          <w:sz w:val="28"/>
          <w:szCs w:val="28"/>
        </w:rPr>
        <w:t xml:space="preserve"> «</w:t>
      </w:r>
      <w:r w:rsidR="00162D45" w:rsidRPr="00162D45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</w:t>
      </w:r>
      <w:r w:rsidR="00162D45">
        <w:rPr>
          <w:sz w:val="28"/>
          <w:szCs w:val="28"/>
        </w:rPr>
        <w:t xml:space="preserve">сти муниципального образования  </w:t>
      </w:r>
      <w:r w:rsidR="00162D45" w:rsidRPr="00162D45">
        <w:rPr>
          <w:sz w:val="28"/>
          <w:szCs w:val="28"/>
        </w:rPr>
        <w:t>Буденновское сельское поселение»</w:t>
      </w:r>
    </w:p>
    <w:p w:rsidR="00855C33" w:rsidRPr="00663C1E" w:rsidRDefault="00855C33" w:rsidP="00663C1E">
      <w:pPr>
        <w:pStyle w:val="ConsPlusTitle"/>
        <w:ind w:right="310"/>
        <w:jc w:val="both"/>
      </w:pP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2415"/>
        <w:gridCol w:w="6275"/>
        <w:gridCol w:w="6"/>
      </w:tblGrid>
      <w:tr w:rsidR="00663C1E" w:rsidRPr="00162D45" w:rsidTr="00A663D2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Буденновского сельского поселения Сальского района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347630, Ростовская область, Сальский район</w:t>
            </w:r>
            <w:r w:rsidR="00162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 п. Конезавод имени Буденного,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Ленина, 7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Ответственное лицо Про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давца: глава </w:t>
            </w:r>
            <w:r w:rsidR="002C334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Буденновского 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Ефремов Дмитрий Анатольевич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Исполнитель – 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Таирова София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Салимжановна</w:t>
            </w:r>
            <w:proofErr w:type="spellEnd"/>
          </w:p>
          <w:p w:rsidR="00663C1E" w:rsidRPr="002F115D" w:rsidRDefault="00162D45" w:rsidP="00461A54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>. 8(86372) 4-11-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30,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E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D93EED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sofia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tairova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01@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.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63C1E" w:rsidRPr="00663C1E" w:rsidTr="00A663D2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121151, г. Москва, наб. Тараса Шевченко, д.23А, сектор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25  этаж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10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https://www.rts-tender.ru/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iSupport@rts-tender.ru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тел.: +7 (800) 775-58-00; +7 (499) 653-55-00</w:t>
            </w:r>
          </w:p>
        </w:tc>
      </w:tr>
      <w:tr w:rsidR="00663C1E" w:rsidRPr="00663C1E" w:rsidTr="00A663D2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430ECA" w:rsidRPr="00B95AFD" w:rsidRDefault="00430ECA" w:rsidP="00D93EED">
            <w:pPr>
              <w:pStyle w:val="ConsPlusTitle"/>
              <w:tabs>
                <w:tab w:val="left" w:pos="6020"/>
              </w:tabs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85"/>
            </w:tblGrid>
            <w:tr w:rsidR="00663C1E" w:rsidRPr="00B95AFD" w:rsidTr="00A663D2">
              <w:trPr>
                <w:trHeight w:val="2508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5AA6" w:rsidRPr="00B95AFD" w:rsidRDefault="004F5AA6" w:rsidP="00A663D2">
                  <w:pPr>
                    <w:pStyle w:val="ConsPlusTitle"/>
                    <w:ind w:right="34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ежилое </w:t>
                  </w:r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здание, сарай </w:t>
                  </w:r>
                  <w:proofErr w:type="gramStart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расположенные</w:t>
                  </w:r>
                  <w:proofErr w:type="gramEnd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 земельном участке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по а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дрес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Рост</w:t>
                  </w:r>
                  <w:r w:rsidR="00D93EED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овская область, Сальский район,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п. Конезавод имени Буденного, ул. Ленина, д.5</w:t>
                  </w: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63C1E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EED" w:rsidRPr="00B95AFD" w:rsidRDefault="004F5AA6" w:rsidP="00B921B2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-нежилое здание: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кадастровый номер 61:34:0040101:4055, этажность:2, общая площадь 1294,1 кв. м., 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техническое состояние объекта </w:t>
                  </w:r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непригодное к эксплуатации. Физический износ, определенный экспертно составляет около 81-85%. (Конструктивные элементы – стены, крыша находятся в разрушенном состоянии.)</w:t>
                  </w:r>
                  <w:r w:rsidR="002944B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4F5AA6" w:rsidRPr="00B95AFD" w:rsidRDefault="002944B0" w:rsidP="00D93EED">
                  <w:pPr>
                    <w:pStyle w:val="ConsPlusTitle"/>
                    <w:tabs>
                      <w:tab w:val="left" w:pos="3335"/>
                    </w:tabs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сарай общей площадью 69,0 кв. м.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663C1E" w:rsidRPr="00B95AFD" w:rsidRDefault="002944B0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-земельный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участ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ок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      </w:r>
                </w:p>
              </w:tc>
            </w:tr>
          </w:tbl>
          <w:p w:rsidR="00D93EED" w:rsidRPr="00B95AFD" w:rsidRDefault="00D93EE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63D2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чальная цена –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724 872,00 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учетом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НДС в соответст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вии  с отчетом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оценке</w:t>
            </w:r>
            <w:r w:rsidR="00B921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08.08.2023г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63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2023-НН-4(16), составленного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исполнителем: 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ЧПО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 оценщиком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Токарев</w:t>
            </w:r>
            <w:r w:rsidR="005C268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ым  Алексеем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Владимировичем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1EB5" w:rsidRPr="00B95AFD" w:rsidRDefault="00663C1E" w:rsidP="00781EB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Величина повышения начальной цены (шаг аукциона) – 5% от начальной цены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86 243,6 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 Задаток в размере 10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(Федеральный закон от 05.12.2022 № 512-ФЗ «О внесении изменений в Федеральный закон «О приватизации государственного и муниципального имущества»),</w:t>
            </w:r>
            <w:r w:rsidR="00A862C0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02FF5" w:rsidRPr="00B95AFD" w:rsidRDefault="00781EB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начальной цены в размере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172 487,2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</w:t>
            </w:r>
          </w:p>
          <w:p w:rsidR="00402FF5" w:rsidRPr="00B95AFD" w:rsidRDefault="00402F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Приватизация здания  осуществляется одновременно с отчуждением победит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елю аукциона земельного участка.</w:t>
            </w:r>
          </w:p>
          <w:p w:rsidR="00537CCD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7CCD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="00430ECA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находится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собственности Администрации Буденновского сельского поселения</w:t>
            </w:r>
            <w:r w:rsidR="00537CCD"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663C1E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знакомление с объектом продажи осуществляется самостоятельно с выездом на место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Место подачи (приёма) Заявок: электронная площадка </w:t>
            </w:r>
            <w:hyperlink r:id="rId12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Дата и время начала пода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 (приёма) Заявок: 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в 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 Подача Заявок осуществляется круглосуточно.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Дата и время окончан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ия подачи (приёма) Заявок: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67C2" w:rsidRPr="00B95A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определения участников: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5) Дата и вр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емя проведения Процедуры: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6) Срок подведения итого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Процедуры: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4231"/>
            </w:tblGrid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044525360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7710357167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773001001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922044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Приватизация государственного или муниципального имущества в электронной форме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без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учета 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НДС.</w:t>
                  </w:r>
                </w:p>
              </w:tc>
            </w:tr>
          </w:tbl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Продавец вправе отказаться от проведения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аукциона в любое время, но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 – ЭП).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предоставлении разъяснений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имущества, запрос о разъяснении размещенной информации.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www.rts-tender.ru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подразделе «Имущество» и иными нормативными документами электронной площадки.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электронную площадку.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6) </w:t>
            </w:r>
            <w:r w:rsidR="00984B67" w:rsidRPr="00101C30">
              <w:rPr>
                <w:rFonts w:ascii="Times New Roman" w:hAnsi="Times New Roman" w:cs="Times New Roman"/>
                <w:sz w:val="24"/>
                <w:szCs w:val="24"/>
              </w:rPr>
              <w:t>Электронная а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укционная заявка юридических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</w:t>
            </w:r>
            <w:r w:rsid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копию паспорта.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7) Подача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электронной а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укционной заявки на участие в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электронном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аукционе означает согласие Участника с условиями аукциона и заключению договора купли-продажи по итогам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аукциона (для физических и юридических лиц) и принятие им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обязательств соблюдать эти условия.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внесения и возврата задатка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Для участия в Процедуре Претен</w:t>
            </w:r>
            <w:r w:rsidR="00922044" w:rsidRPr="00101C30">
              <w:rPr>
                <w:rFonts w:ascii="Times New Roman" w:hAnsi="Times New Roman" w:cs="Times New Roman"/>
                <w:sz w:val="24"/>
                <w:szCs w:val="24"/>
              </w:rPr>
              <w:t>дент вносит задаток в размере 10% (десять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) процентов от начальной цены лота.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Претендент обеспечивает поступление задатка</w:t>
            </w:r>
            <w:r w:rsidRPr="00101C3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срок с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по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счёт плательщика.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 не допускается к участию в Процедуре по следующим основаниям: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или) 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проведения Процедуры, определения победителя,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002288" w:rsidP="00101C30">
            <w:pPr>
              <w:pStyle w:val="ConsPlusTitle"/>
              <w:ind w:right="18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1) Аукцион проводится </w:t>
            </w:r>
            <w:r w:rsidR="00E47B1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соответствии регламентом электронной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площадки, размещенным на сайте </w:t>
            </w:r>
            <w:hyperlink r:id="rId16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разделе «Имущество».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аукционе могут участвовать только претенденты, признанные участниками торгов.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 заключения договора купли-продажи 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результатам Процедуры Продавец и Победитель (Покупатель) в течение 5 (пяти) рабочих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подведения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 Процедуры заключают в соответствии с законодательством Российской Федерации договор купли-продажи Объе</w:t>
            </w:r>
            <w:r w:rsidR="007B6986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кта (лота) по форме Приложения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10 календарных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протокола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подведения итогов аукциона, Организатор имеет право отклонить его предложение о цене и определить выигравшее предложение из числа действующих.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и сроки оплаты по договору купли-продажи Объекта (лота) определены в проекте договора купли-продажи, прив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еденном в Приложении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перехода права собственности на Объект определены в проекте договора купли-про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дажи, приведенном в Приложении</w:t>
            </w:r>
            <w:r w:rsidR="00C362A3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663C1E" w:rsidRPr="001F2A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2204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F389E" w:rsidRDefault="006F389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AD2751" w:rsidRDefault="00AD2751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776843" w:rsidRDefault="00776843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>
        <w:rPr>
          <w:rFonts w:ascii="Times New Roman" w:hAnsi="Times New Roman" w:cs="Times New Roman"/>
          <w:b w:val="0"/>
          <w:iCs/>
          <w:sz w:val="14"/>
          <w:szCs w:val="22"/>
        </w:rPr>
        <w:lastRenderedPageBreak/>
        <w:t xml:space="preserve">Приложение </w:t>
      </w:r>
    </w:p>
    <w:p w:rsidR="00776843" w:rsidRDefault="00776843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14"/>
          <w:szCs w:val="22"/>
        </w:rPr>
      </w:pPr>
    </w:p>
    <w:p w:rsidR="00AA0A02" w:rsidRPr="00AA0A02" w:rsidRDefault="00AA0A02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AA0A02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Формы заявок для участия в аукционе:</w:t>
      </w:r>
    </w:p>
    <w:p w:rsidR="00AA0A02" w:rsidRPr="00AA0A02" w:rsidRDefault="00AA0A02" w:rsidP="00472AC3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Продавцу – Администрация Буденновского сельского поселения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юридического лица, индивидуального предпринимателя, составляется в 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02288">
        <w:rPr>
          <w:rFonts w:ascii="Times New Roman" w:hAnsi="Times New Roman" w:cs="Times New Roman"/>
          <w:sz w:val="22"/>
          <w:szCs w:val="22"/>
        </w:rPr>
        <w:t>экземплярах)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(полное наименование юридического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ОГРН_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_________________/</w:t>
      </w: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(Ф.И.О., паспортные данные индивидуального предпринимателя,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серия___________№__________________, дата выдачи свидетельства ____________________);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ОГРНИП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отчество, должность)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 ____________________________________, принимая  решение  об  участии в аукционе по продаже___________________________________________________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сайте Администрации Буденновского сельского поселения </w:t>
      </w:r>
      <w:hyperlink r:id="rId17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г.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Банковские реквизиты Претендента для возврата задатка: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Получатель 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A0A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в______________________________________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(полное наименование банка получателя)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БИК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>. __________________________________.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>Почтовый адрес, к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онтактные телефоны Претендента:</w:t>
      </w:r>
      <w:r w:rsidRPr="00855C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 xml:space="preserve">Претендент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Cs w:val="22"/>
        </w:rPr>
        <w:t>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       ____________________________(_____________________________)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М.П. 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  <w:t>«____»_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_____________ 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 года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Заполняется представителем Продавца: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Заявка принята Продавцом: _____</w:t>
      </w:r>
      <w:proofErr w:type="spellStart"/>
      <w:r w:rsidRPr="00855C33">
        <w:rPr>
          <w:rFonts w:ascii="Times New Roman" w:hAnsi="Times New Roman" w:cs="Times New Roman"/>
          <w:b w:val="0"/>
          <w:sz w:val="18"/>
          <w:szCs w:val="22"/>
        </w:rPr>
        <w:t>час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>.</w:t>
      </w:r>
      <w:proofErr w:type="gramEnd"/>
      <w:r w:rsidRPr="00855C33">
        <w:rPr>
          <w:rFonts w:ascii="Times New Roman" w:hAnsi="Times New Roman" w:cs="Times New Roman"/>
          <w:b w:val="0"/>
          <w:sz w:val="18"/>
          <w:szCs w:val="22"/>
        </w:rPr>
        <w:t>_</w:t>
      </w:r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____</w:t>
      </w:r>
      <w:proofErr w:type="gramStart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м</w:t>
      </w:r>
      <w:proofErr w:type="gram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ин</w:t>
      </w:r>
      <w:proofErr w:type="spell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. «_____»_____________202</w:t>
      </w:r>
      <w:r w:rsidRPr="00855C33">
        <w:rPr>
          <w:rFonts w:ascii="Times New Roman" w:hAnsi="Times New Roman" w:cs="Times New Roman"/>
          <w:b w:val="0"/>
          <w:sz w:val="18"/>
          <w:szCs w:val="22"/>
        </w:rPr>
        <w:t>___г. за №_____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Представитель Продавца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 xml:space="preserve"> _____________________________________(____________________)</w:t>
      </w:r>
      <w:proofErr w:type="gramEnd"/>
    </w:p>
    <w:p w:rsid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lastRenderedPageBreak/>
        <w:t xml:space="preserve">Приложение </w:t>
      </w:r>
      <w:r w:rsidR="00855C33"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Pr="00AA0A02" w:rsidRDefault="00776843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физического лица, составляется в 2 экземплярах)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 и паспортные данные  физического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(фамилия, имя, отчество)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принимая решение об участии в аукционе по продаже 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Администрации Буденновского сельского поселения </w:t>
      </w:r>
      <w:hyperlink r:id="rId18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Адрес и контактные телефоны Претендента: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528"/>
      </w:tblGrid>
      <w:tr w:rsidR="00AA0A02" w:rsidRPr="00AA0A02" w:rsidTr="007B6986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*Платежные реквизиты для возврата задатка:</w:t>
            </w:r>
          </w:p>
        </w:tc>
      </w:tr>
      <w:tr w:rsidR="00AA0A02" w:rsidRPr="00AA0A02" w:rsidTr="007B6986">
        <w:trPr>
          <w:trHeight w:val="6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A02" w:rsidRPr="00AA0A02" w:rsidTr="007B6986">
        <w:trPr>
          <w:trHeight w:val="3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получателя (12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34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К/</w:t>
            </w:r>
            <w:proofErr w:type="spellStart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сч</w:t>
            </w:r>
            <w:proofErr w:type="spellEnd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банка получателя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5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банка получателя (10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КПП банка получателя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</w:tbl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Претендент  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____________________(___________________)</w:t>
      </w:r>
      <w:proofErr w:type="gramEnd"/>
    </w:p>
    <w:p w:rsidR="00AA0A02" w:rsidRPr="00AA0A02" w:rsidRDefault="00002288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«____»______________ 202</w:t>
      </w:r>
      <w:r w:rsidR="00AA0A02" w:rsidRPr="00AA0A02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Заполняется представителем Продавца: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Заявка принята Продавцом: _____</w:t>
      </w:r>
      <w:proofErr w:type="spellStart"/>
      <w:r w:rsidRPr="00AA0A02">
        <w:rPr>
          <w:rFonts w:ascii="Times New Roman" w:hAnsi="Times New Roman" w:cs="Times New Roman"/>
          <w:b w:val="0"/>
          <w:sz w:val="22"/>
          <w:szCs w:val="22"/>
        </w:rPr>
        <w:t>час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>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</w:t>
      </w:r>
      <w:proofErr w:type="gramStart"/>
      <w:r w:rsidR="00002288">
        <w:rPr>
          <w:rFonts w:ascii="Times New Roman" w:hAnsi="Times New Roman" w:cs="Times New Roman"/>
          <w:b w:val="0"/>
          <w:sz w:val="22"/>
          <w:szCs w:val="22"/>
        </w:rPr>
        <w:t>м</w:t>
      </w:r>
      <w:proofErr w:type="gramEnd"/>
      <w:r w:rsidR="00002288">
        <w:rPr>
          <w:rFonts w:ascii="Times New Roman" w:hAnsi="Times New Roman" w:cs="Times New Roman"/>
          <w:b w:val="0"/>
          <w:sz w:val="22"/>
          <w:szCs w:val="22"/>
        </w:rPr>
        <w:t>ин</w:t>
      </w:r>
      <w:proofErr w:type="spellEnd"/>
      <w:r w:rsidR="00002288">
        <w:rPr>
          <w:rFonts w:ascii="Times New Roman" w:hAnsi="Times New Roman" w:cs="Times New Roman"/>
          <w:b w:val="0"/>
          <w:sz w:val="22"/>
          <w:szCs w:val="22"/>
        </w:rPr>
        <w:t>. «_____»_____________202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___г. за №_______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Представитель Продавца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______________________________________(____________________)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t xml:space="preserve">Приложение </w:t>
      </w: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776843" w:rsidRDefault="00776843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4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Проект  ДОГОВОРА</w:t>
      </w:r>
    </w:p>
    <w:p w:rsidR="00663C1E" w:rsidRDefault="00663C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F2A1E">
        <w:rPr>
          <w:rFonts w:ascii="Times New Roman" w:hAnsi="Times New Roman" w:cs="Times New Roman"/>
          <w:sz w:val="22"/>
          <w:szCs w:val="22"/>
        </w:rPr>
        <w:t xml:space="preserve">недвижимого имущества </w:t>
      </w:r>
    </w:p>
    <w:p w:rsidR="001F2A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1F2A1E" w:rsidRPr="00663C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 «____»______2023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г.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Муниципальное образование «Буденновское 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ельское поселение» в лице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Ефремова Дмитрия Анатольев</w:t>
      </w:r>
      <w:r>
        <w:rPr>
          <w:rFonts w:ascii="Times New Roman" w:hAnsi="Times New Roman" w:cs="Times New Roman"/>
          <w:b w:val="0"/>
          <w:sz w:val="22"/>
          <w:szCs w:val="22"/>
        </w:rPr>
        <w:t>ича, действующего на основании У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става,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далее «Продавец»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 с одно</w:t>
      </w:r>
      <w:r>
        <w:rPr>
          <w:rFonts w:ascii="Times New Roman" w:hAnsi="Times New Roman" w:cs="Times New Roman"/>
          <w:b w:val="0"/>
          <w:sz w:val="22"/>
          <w:szCs w:val="22"/>
        </w:rPr>
        <w:t>й стороны   и ______________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 действующего на основании____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__,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>
        <w:rPr>
          <w:rFonts w:ascii="Times New Roman" w:hAnsi="Times New Roman" w:cs="Times New Roman"/>
          <w:b w:val="0"/>
          <w:sz w:val="22"/>
          <w:szCs w:val="22"/>
        </w:rPr>
        <w:t>менуемый в дальнейшем  «Покупатель»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CB63B6" w:rsidRDefault="00663C1E" w:rsidP="00663C1E">
      <w:pPr>
        <w:pStyle w:val="ConsPlusTitle"/>
        <w:numPr>
          <w:ilvl w:val="0"/>
          <w:numId w:val="19"/>
        </w:numPr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663C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На основании протокола об итогах аукциона с подачей предложений о цене в открытой форме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от _____________________, «Продавец» передал в собственность «По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купателю», а «Покупатель» принимает (покупает) и оплачивает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 xml:space="preserve"> недвижимое имущество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: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C7A28" w:rsidRDefault="009C7A28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1F2A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Нежилое здание, сарай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CB63B6" w:rsidRDefault="001F2A1E" w:rsidP="001F2A1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-нежилое здание: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кадастровый номер 61:34:0040101:4055, этажность:2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общая площадь 1294,1 кв. м.,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,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CB63B6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663C1E" w:rsidRPr="00CB63B6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2.1. Продавец обязуется передать Покупателю в собственность свободный от каких-либо прав третьих лиц и иных обременений указанный в п. 1.1 настоящего Договора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 относящиеся к нему документы.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2.2. Покупатель обязан принять и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оплатить стоимость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недвижимого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имущества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при заключении настоящего Договора, но не позднее 10 рабочих дней с момента подписания настоящего Договора.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Продавец передает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свободным от прав и пр</w:t>
      </w:r>
      <w:r>
        <w:rPr>
          <w:rFonts w:ascii="Times New Roman" w:hAnsi="Times New Roman" w:cs="Times New Roman"/>
          <w:b w:val="0"/>
          <w:sz w:val="22"/>
          <w:szCs w:val="22"/>
        </w:rPr>
        <w:t>итязаний третьих лиц.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2.4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Передача Продавцом и принятие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недвижимого имущества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Покупателем осуществляется не позднее чем через 10 дней после полной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оплаты Покупателем стоимости  имущества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С момента подписания договора обязательство Продавца передать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считается исполненным, что является основанием не применять в дальнейшем последствия статьи 475 ГК РФ.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2.5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CB63B6" w:rsidRPr="00663C1E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3. Порядок расчетов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3.1. Установленная по итогам</w:t>
      </w:r>
      <w:r w:rsidR="00CB63B6">
        <w:rPr>
          <w:rFonts w:ascii="Times New Roman" w:hAnsi="Times New Roman" w:cs="Times New Roman"/>
          <w:b w:val="0"/>
          <w:sz w:val="22"/>
          <w:szCs w:val="22"/>
        </w:rPr>
        <w:t xml:space="preserve"> продажи цена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Имущества, составля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ет 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____________________ рублей 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с  учетом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НДС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3.2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 учетом п.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2.2 настоящего Договора Покупатель обязан уплатить Продавцу за Имущество денежные средства в размере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>_____________________ рублей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, которые должны быть внесены единовременно в безналичном порядке на счет Продавца:</w:t>
      </w:r>
    </w:p>
    <w:p w:rsidR="00663C1E" w:rsidRPr="00663C1E" w:rsidRDefault="00037B09" w:rsidP="001D7E0A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Оплата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производится  Покупателем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в течение 10 рабочих дней с момента подписания настоящего договора путем перечисления денежных средств  на счет: </w:t>
      </w:r>
      <w:proofErr w:type="gramStart"/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Юридический адрес: 347603, Ростовская область, Сальский район,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Буденного, ул. Ленина,7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ИНН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6153023711 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КПП 615301001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>КС 0310064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3000000015800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326" w:rsidRPr="00EE5326">
        <w:rPr>
          <w:rFonts w:ascii="Times New Roman" w:hAnsi="Times New Roman" w:cs="Times New Roman"/>
          <w:b w:val="0"/>
          <w:sz w:val="22"/>
          <w:szCs w:val="22"/>
        </w:rPr>
        <w:t>ЕКС 40102810845370000050</w:t>
      </w:r>
      <w:r w:rsidR="00EE53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Отделение Ростов-на-Дону Банка России//УФК по Ростовской области г. Ростов-на-Дону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БИК 016015102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ОКАТО  60250810000  ОГРН 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 1056153019955  ОКОГУ    32200 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ОКОПФ 72     ОКТМО  60650410 </w:t>
      </w:r>
      <w:r w:rsidR="008D1FD8">
        <w:rPr>
          <w:rFonts w:ascii="Times New Roman" w:hAnsi="Times New Roman" w:cs="Times New Roman"/>
          <w:b w:val="0"/>
          <w:sz w:val="22"/>
          <w:szCs w:val="22"/>
        </w:rPr>
        <w:t xml:space="preserve"> ОКПО  04226818 ОКВЭД   84.11.31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ОКФС   14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375238" w:rsidRPr="00375238">
        <w:rPr>
          <w:rFonts w:ascii="Times New Roman" w:hAnsi="Times New Roman" w:cs="Times New Roman"/>
          <w:b w:val="0"/>
          <w:sz w:val="22"/>
          <w:szCs w:val="22"/>
        </w:rPr>
        <w:t>951 114 1306010 0000410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>(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доходы от приватизации имущества, 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lastRenderedPageBreak/>
        <w:t>находящегося</w:t>
      </w:r>
      <w:proofErr w:type="gramEnd"/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 в собственности сельских поселений, в части приватизации нефинансовых активов имущества казны)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4. Ответственность сторон.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4.2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Договор расторгнут, высылая Покупателю копию выписки со своего счета, свидетельствующую о не поступлении на счет Продавца суммы платежа. Настоящая договоренность не требует дополнительного соглашения 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сторон о расторжении договора.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За просрочку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5. Срок действия договора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5.2.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7. Соблюдение антикоррупционного законодательства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с даты направления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письменного уведомления.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был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расторгнут Договор в соответствии с положениями настоящей статьи, вправе требовать возмещения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8.2. Настоящий Договор составлен в  двух экземплярах, имеющих одинаковую юридическую силу.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8.3. Настоящий договор имеет силу передаточного акта.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BD70F5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9. Юридические адреса и подписи сторон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4319"/>
      </w:tblGrid>
      <w:tr w:rsidR="00663C1E" w:rsidRPr="00663C1E" w:rsidTr="000D4641">
        <w:trPr>
          <w:trHeight w:val="80"/>
        </w:trPr>
        <w:tc>
          <w:tcPr>
            <w:tcW w:w="5400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Cs w:val="22"/>
              </w:rPr>
            </w:pPr>
            <w:r w:rsidRPr="000D4641">
              <w:rPr>
                <w:rFonts w:ascii="Times New Roman" w:hAnsi="Times New Roman" w:cs="Times New Roman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Юридический адрес: 347603, Ростовская область, Сальский район,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п. Конезавод имени Буденного, ул. Ленина,7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ИНН 6153023711       </w:t>
            </w:r>
          </w:p>
          <w:p w:rsidR="00BD70F5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КПП 615301001 </w:t>
            </w:r>
          </w:p>
          <w:p w:rsidR="001D7E0A" w:rsidRPr="000D4641" w:rsidRDefault="00BD70F5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л</w:t>
            </w:r>
            <w:proofErr w:type="gramEnd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/с 04583110110</w:t>
            </w:r>
            <w:r w:rsidR="001D7E0A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  <w:p w:rsidR="009E7E67" w:rsidRPr="000D4641" w:rsidRDefault="009E7E67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КС 03100643000000015800</w:t>
            </w:r>
          </w:p>
          <w:p w:rsidR="00662DD8" w:rsidRPr="000D4641" w:rsidRDefault="00662DD8" w:rsidP="00662D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ЕКС 40102810845370000050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БИК 016015102</w:t>
            </w:r>
          </w:p>
          <w:p w:rsidR="00662DD8" w:rsidRPr="000D4641" w:rsidRDefault="00662DD8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ОГРН   1056153019955  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ОКАТО  60250810000  ОГРН   1056153019955  ОКОГУ    32200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ОКОПФ 72     ОКТМО  60650410 </w:t>
            </w:r>
            <w:r w:rsidR="00662DD8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ОКПО  04226818 ОКВЭД   84.11.31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ОКФС   14</w:t>
            </w:r>
          </w:p>
          <w:p w:rsidR="000D4641" w:rsidRPr="000D4641" w:rsidRDefault="009E7E67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КБК 951 114 1306010 0000410 </w:t>
            </w:r>
            <w:r w:rsidR="00375238" w:rsidRPr="000D4641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___________/Д.А. Ефремов/</w:t>
            </w:r>
          </w:p>
          <w:p w:rsidR="00BD70F5" w:rsidRPr="000D4641" w:rsidRDefault="00BD70F5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proofErr w:type="spell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мп</w:t>
            </w:r>
            <w:proofErr w:type="spellEnd"/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EE5326" w:rsidRPr="000D4641" w:rsidRDefault="00EE5326" w:rsidP="00EE5326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663C1E" w:rsidRPr="000D4641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AA0A02" w:rsidRPr="00663C1E" w:rsidRDefault="00AA0A02" w:rsidP="00BD70F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319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Pr="00663C1E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374C" w:rsidRDefault="009A374C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="00472AC3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_______________/_______/</w:t>
            </w:r>
          </w:p>
          <w:p w:rsidR="000D4641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BD70F5" w:rsidRPr="000D4641" w:rsidRDefault="000D4641" w:rsidP="00BD70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D70F5" w:rsidRPr="00BD70F5" w:rsidRDefault="00BD70F5" w:rsidP="00BD70F5">
            <w:pPr>
              <w:pStyle w:val="ConsPlusTitle"/>
              <w:jc w:val="both"/>
              <w:rPr>
                <w:sz w:val="22"/>
                <w:szCs w:val="22"/>
              </w:rPr>
            </w:pPr>
          </w:p>
          <w:p w:rsidR="00BD70F5" w:rsidRPr="00663C1E" w:rsidRDefault="00BD70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 xml:space="preserve">Приложение 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776843" w:rsidRDefault="00776843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6"/>
        </w:rPr>
      </w:pP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АКТ</w:t>
      </w: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приема передачи имущества</w:t>
      </w: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г.</w:t>
      </w:r>
    </w:p>
    <w:p w:rsidR="00CA67E2" w:rsidRP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Pr="00CA67E2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proofErr w:type="gramStart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Администрация Буденновского сельского поселения, именуемая в дальнейшем «Продавец»,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 лице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Ефремова Дмитрия Анатольевича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, действующей н</w:t>
      </w:r>
      <w:r>
        <w:rPr>
          <w:rFonts w:ascii="Times New Roman" w:hAnsi="Times New Roman" w:cs="Times New Roman"/>
          <w:b w:val="0"/>
          <w:sz w:val="22"/>
          <w:szCs w:val="22"/>
        </w:rPr>
        <w:t>а основании Устава, именуемый в дальнейшем «Продавец»,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с одной стороны и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>__________________________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 xml:space="preserve">___, 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именуемый в дальнейшем «Покупатель»,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от «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 2023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г.), составили настоящий</w:t>
      </w:r>
      <w:proofErr w:type="gramEnd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 акт приема передачи имущества о нижеследующем:</w:t>
      </w:r>
    </w:p>
    <w:p w:rsidR="00CA67E2" w:rsidRP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A38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1. Продавец в соответствии с договором купли-продажи от </w:t>
      </w:r>
      <w:r>
        <w:rPr>
          <w:rFonts w:ascii="Times New Roman" w:hAnsi="Times New Roman" w:cs="Times New Roman"/>
          <w:b w:val="0"/>
          <w:sz w:val="22"/>
          <w:szCs w:val="22"/>
        </w:rPr>
        <w:t>___ 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 г. продал Покупателю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– далее Имущество:</w:t>
      </w:r>
    </w:p>
    <w:p w:rsid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Нежилое здание, сарай </w:t>
      </w:r>
      <w:proofErr w:type="gramStart"/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E73A38" w:rsidRP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-нежилое здание: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кадастровый номер 61:34:0040101:4055, этажность:2, общая площадь 1294,1 кв. м., </w:t>
      </w:r>
    </w:p>
    <w:p w:rsidR="000D4641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0D4641" w:rsidRPr="000D4641" w:rsidRDefault="000D4641" w:rsidP="00CA67E2">
      <w:pPr>
        <w:pStyle w:val="ConsPlusTitle"/>
        <w:ind w:right="310"/>
        <w:rPr>
          <w:rFonts w:ascii="Times New Roman" w:hAnsi="Times New Roman" w:cs="Times New Roman"/>
          <w:sz w:val="22"/>
          <w:szCs w:val="22"/>
        </w:rPr>
      </w:pPr>
    </w:p>
    <w:p w:rsidR="00CA67E2" w:rsidRP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2. Покупатель уплатил Продавцу стоимость Имущества в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полном объеме, в соответствии с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условиями договора в сумме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 рублей </w:t>
      </w:r>
      <w:r w:rsidR="00E73A38" w:rsidRPr="00E73A38">
        <w:rPr>
          <w:rFonts w:ascii="Times New Roman" w:hAnsi="Times New Roman" w:cs="Times New Roman"/>
          <w:b w:val="0"/>
          <w:sz w:val="22"/>
          <w:szCs w:val="22"/>
        </w:rPr>
        <w:t xml:space="preserve">  с  учетом  НДС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. Стороны претензий по оплате не имеют.</w:t>
      </w:r>
    </w:p>
    <w:p w:rsidR="001A44E4" w:rsidRPr="00CA67E2" w:rsidRDefault="00CA67E2" w:rsidP="00A663D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CA67E2" w:rsidRPr="003C0E7B" w:rsidTr="00AD2751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D4641" w:rsidRPr="00A663D2" w:rsidRDefault="000D4641" w:rsidP="00A663D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6153023711     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КПП 615301001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/с 04583110110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КС 03100643000000015800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ЕКС 40102810845370000050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016015102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ОГРН   1056153019955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ОКАТО  60250810000  ОГРН   1056153019955  ОКОГУ    32200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ОКОПФ 72     ОКТМО  60650410  ОКПО  04226818 ОКВЭД   84.11.31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ОКФС   14</w:t>
            </w:r>
          </w:p>
          <w:p w:rsidR="00A663D2" w:rsidRDefault="000D4641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КБК 951 114 1306010 0000410 (доходы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A663D2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                       __________ </w:t>
            </w:r>
            <w:r w:rsidR="000D4641"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/Д.А. Ефремов/</w:t>
            </w:r>
          </w:p>
          <w:p w:rsidR="00472AC3" w:rsidRPr="003C0E7B" w:rsidRDefault="000D4641" w:rsidP="00A663D2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="00A663D2">
              <w:rPr>
                <w:rFonts w:ascii="Times New Roman" w:hAnsi="Times New Roman" w:cs="Times New Roman"/>
                <w:b w:val="0"/>
                <w:sz w:val="22"/>
                <w:szCs w:val="22"/>
              </w:rPr>
              <w:t>«___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P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663D2" w:rsidRPr="003C0E7B" w:rsidRDefault="00A663D2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_______________/_______/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CA67E2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Pr="00184463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lastRenderedPageBreak/>
        <w:t>Приложение № 2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F389E" w:rsidRPr="00184463" w:rsidRDefault="006F389E" w:rsidP="006F389E">
      <w:pPr>
        <w:pStyle w:val="ConsPlusTitle"/>
        <w:rPr>
          <w:sz w:val="16"/>
        </w:rPr>
      </w:pP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Состав комиссии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электронного а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области: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Ефремов Д.А. – глава Администрации Буденновского сельского поселения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Таирова С.С.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– старший инспектор имущественных и земельных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, аукционист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Москвина И.И.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– ведущий специалист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Михайличенко И.В. – ведущий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кономист Администрации Буденновского сельского поселения</w:t>
      </w: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                                            Д.А. Ефремов</w:t>
      </w: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AD2751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sectPr w:rsidR="006F389E" w:rsidSect="00470679">
      <w:footerReference w:type="default" r:id="rId1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5" w:rsidRDefault="00162D45">
      <w:r>
        <w:separator/>
      </w:r>
    </w:p>
  </w:endnote>
  <w:endnote w:type="continuationSeparator" w:id="0">
    <w:p w:rsidR="00162D45" w:rsidRDefault="001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5" w:rsidRDefault="00162D45">
    <w:pPr>
      <w:pStyle w:val="ad"/>
      <w:jc w:val="right"/>
    </w:pPr>
    <w:r>
      <w:ptab w:relativeTo="margin" w:alignment="center" w:leader="none"/>
    </w:r>
  </w:p>
  <w:p w:rsidR="00162D45" w:rsidRDefault="00162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5" w:rsidRDefault="00162D45">
      <w:r>
        <w:separator/>
      </w:r>
    </w:p>
  </w:footnote>
  <w:footnote w:type="continuationSeparator" w:id="0">
    <w:p w:rsidR="00162D45" w:rsidRDefault="001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52DA1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278EC"/>
    <w:rsid w:val="00533DAB"/>
    <w:rsid w:val="00537CCD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42FFD"/>
    <w:rsid w:val="00855C33"/>
    <w:rsid w:val="00874399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5F59"/>
    <w:rsid w:val="00941C81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47B10"/>
    <w:rsid w:val="00E62E66"/>
    <w:rsid w:val="00E73A38"/>
    <w:rsid w:val="00EB7073"/>
    <w:rsid w:val="00EE5326"/>
    <w:rsid w:val="00F648B5"/>
    <w:rsid w:val="00F97E52"/>
    <w:rsid w:val="00FB0E59"/>
    <w:rsid w:val="00FB4840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konzavodha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konzavodha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DF17-201B-4FD2-976D-6EC708E9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18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18</cp:revision>
  <cp:lastPrinted>2023-08-31T06:02:00Z</cp:lastPrinted>
  <dcterms:created xsi:type="dcterms:W3CDTF">2023-08-22T07:07:00Z</dcterms:created>
  <dcterms:modified xsi:type="dcterms:W3CDTF">2023-10-06T07:26:00Z</dcterms:modified>
</cp:coreProperties>
</file>